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方正黑体_GBK" w:hAnsi="方正黑体_GBK" w:eastAsia="方正黑体_GBK" w:cs="方正黑体_GBK"/>
          <w:spacing w:val="-10"/>
        </w:rPr>
      </w:pPr>
      <w:r>
        <w:rPr>
          <w:rFonts w:hint="eastAsia" w:ascii="方正黑体_GBK" w:hAnsi="方正黑体_GBK" w:eastAsia="方正黑体_GBK" w:cs="方正黑体_GBK"/>
          <w:spacing w:val="-10"/>
        </w:rPr>
        <w:t>附件</w:t>
      </w:r>
      <w:r>
        <w:rPr>
          <w:rFonts w:eastAsia="方正黑体_GBK"/>
          <w:spacing w:val="-10"/>
        </w:rPr>
        <w:t>1</w:t>
      </w:r>
    </w:p>
    <w:p>
      <w:pPr>
        <w:snapToGrid w:val="0"/>
        <w:spacing w:line="600" w:lineRule="exact"/>
        <w:ind w:firstLine="0" w:firstLineChars="0"/>
        <w:jc w:val="center"/>
        <w:rPr>
          <w:rFonts w:eastAsia="方正小标宋_GBK"/>
          <w:bCs/>
          <w:sz w:val="44"/>
          <w:szCs w:val="44"/>
        </w:rPr>
      </w:pPr>
      <w:r>
        <w:rPr>
          <w:rFonts w:eastAsia="方正小标宋_GBK"/>
          <w:bCs/>
          <w:sz w:val="44"/>
          <w:szCs w:val="44"/>
        </w:rPr>
        <w:t>开州区2024年暑期公开遴选幼儿教师岗位情况一览表</w:t>
      </w:r>
    </w:p>
    <w:tbl>
      <w:tblPr>
        <w:tblStyle w:val="3"/>
        <w:tblW w:w="4998" w:type="pct"/>
        <w:tblInd w:w="0" w:type="dxa"/>
        <w:tblLayout w:type="fixed"/>
        <w:tblCellMar>
          <w:top w:w="0" w:type="dxa"/>
          <w:left w:w="108" w:type="dxa"/>
          <w:bottom w:w="0" w:type="dxa"/>
          <w:right w:w="108" w:type="dxa"/>
        </w:tblCellMar>
      </w:tblPr>
      <w:tblGrid>
        <w:gridCol w:w="457"/>
        <w:gridCol w:w="843"/>
        <w:gridCol w:w="554"/>
        <w:gridCol w:w="1947"/>
        <w:gridCol w:w="933"/>
        <w:gridCol w:w="1282"/>
        <w:gridCol w:w="792"/>
        <w:gridCol w:w="742"/>
        <w:gridCol w:w="998"/>
        <w:gridCol w:w="773"/>
        <w:gridCol w:w="981"/>
        <w:gridCol w:w="845"/>
        <w:gridCol w:w="2037"/>
        <w:gridCol w:w="983"/>
      </w:tblGrid>
      <w:tr>
        <w:tblPrEx>
          <w:tblCellMar>
            <w:top w:w="0" w:type="dxa"/>
            <w:left w:w="108" w:type="dxa"/>
            <w:bottom w:w="0" w:type="dxa"/>
            <w:right w:w="108" w:type="dxa"/>
          </w:tblCellMar>
        </w:tblPrEx>
        <w:trPr>
          <w:trHeight w:val="480" w:hRule="atLeast"/>
        </w:trPr>
        <w:tc>
          <w:tcPr>
            <w:tcW w:w="16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序号</w:t>
            </w:r>
          </w:p>
        </w:tc>
        <w:tc>
          <w:tcPr>
            <w:tcW w:w="29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遴选岗位</w:t>
            </w:r>
          </w:p>
        </w:tc>
        <w:tc>
          <w:tcPr>
            <w:tcW w:w="19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小计</w:t>
            </w:r>
          </w:p>
        </w:tc>
        <w:tc>
          <w:tcPr>
            <w:tcW w:w="6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遴选单位及人数</w:t>
            </w:r>
          </w:p>
        </w:tc>
        <w:tc>
          <w:tcPr>
            <w:tcW w:w="32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拟聘岗位等级</w:t>
            </w:r>
          </w:p>
        </w:tc>
        <w:tc>
          <w:tcPr>
            <w:tcW w:w="2981"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遴选条件和不得报考情形</w:t>
            </w:r>
          </w:p>
        </w:tc>
        <w:tc>
          <w:tcPr>
            <w:tcW w:w="3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备注</w:t>
            </w:r>
          </w:p>
        </w:tc>
      </w:tr>
      <w:tr>
        <w:tblPrEx>
          <w:tblCellMar>
            <w:top w:w="0" w:type="dxa"/>
            <w:left w:w="108" w:type="dxa"/>
            <w:bottom w:w="0" w:type="dxa"/>
            <w:right w:w="108" w:type="dxa"/>
          </w:tblCellMar>
        </w:tblPrEx>
        <w:trPr>
          <w:trHeight w:val="480" w:hRule="atLeast"/>
        </w:trPr>
        <w:tc>
          <w:tcPr>
            <w:tcW w:w="16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方正黑体_GBK" w:hAnsi="方正黑体_GBK" w:eastAsia="方正黑体_GBK" w:cs="方正黑体_GBK"/>
                <w:sz w:val="20"/>
                <w:szCs w:val="20"/>
              </w:rPr>
            </w:pPr>
          </w:p>
        </w:tc>
        <w:tc>
          <w:tcPr>
            <w:tcW w:w="29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方正黑体_GBK" w:hAnsi="方正黑体_GBK" w:eastAsia="方正黑体_GBK" w:cs="方正黑体_GBK"/>
                <w:sz w:val="20"/>
                <w:szCs w:val="20"/>
              </w:rPr>
            </w:pPr>
          </w:p>
        </w:tc>
        <w:tc>
          <w:tcPr>
            <w:tcW w:w="1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方正黑体_GBK" w:hAnsi="方正黑体_GBK" w:eastAsia="方正黑体_GBK" w:cs="方正黑体_GBK"/>
                <w:sz w:val="20"/>
                <w:szCs w:val="20"/>
              </w:rPr>
            </w:pPr>
          </w:p>
        </w:tc>
        <w:tc>
          <w:tcPr>
            <w:tcW w:w="6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方正黑体_GBK" w:hAnsi="方正黑体_GBK" w:eastAsia="方正黑体_GBK" w:cs="方正黑体_GBK"/>
                <w:sz w:val="20"/>
                <w:szCs w:val="20"/>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方正黑体_GBK" w:hAnsi="方正黑体_GBK" w:eastAsia="方正黑体_GBK" w:cs="方正黑体_GBK"/>
                <w:sz w:val="20"/>
                <w:szCs w:val="20"/>
              </w:rPr>
            </w:pPr>
          </w:p>
        </w:tc>
        <w:tc>
          <w:tcPr>
            <w:tcW w:w="4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报考范围</w:t>
            </w:r>
          </w:p>
        </w:tc>
        <w:tc>
          <w:tcPr>
            <w:tcW w:w="181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基本条件</w:t>
            </w:r>
          </w:p>
        </w:tc>
        <w:tc>
          <w:tcPr>
            <w:tcW w:w="7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不得报考情形</w:t>
            </w:r>
          </w:p>
        </w:tc>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方正黑体_GBK" w:hAnsi="方正黑体_GBK" w:eastAsia="方正黑体_GBK" w:cs="方正黑体_GBK"/>
                <w:sz w:val="20"/>
                <w:szCs w:val="20"/>
              </w:rPr>
            </w:pPr>
          </w:p>
        </w:tc>
      </w:tr>
      <w:tr>
        <w:tblPrEx>
          <w:tblCellMar>
            <w:top w:w="0" w:type="dxa"/>
            <w:left w:w="108" w:type="dxa"/>
            <w:bottom w:w="0" w:type="dxa"/>
            <w:right w:w="108" w:type="dxa"/>
          </w:tblCellMar>
        </w:tblPrEx>
        <w:trPr>
          <w:trHeight w:val="480" w:hRule="atLeast"/>
        </w:trPr>
        <w:tc>
          <w:tcPr>
            <w:tcW w:w="16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方正黑体_GBK" w:hAnsi="方正黑体_GBK" w:eastAsia="方正黑体_GBK" w:cs="方正黑体_GBK"/>
                <w:sz w:val="20"/>
                <w:szCs w:val="20"/>
              </w:rPr>
            </w:pPr>
          </w:p>
        </w:tc>
        <w:tc>
          <w:tcPr>
            <w:tcW w:w="29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方正黑体_GBK" w:hAnsi="方正黑体_GBK" w:eastAsia="方正黑体_GBK" w:cs="方正黑体_GBK"/>
                <w:sz w:val="20"/>
                <w:szCs w:val="20"/>
              </w:rPr>
            </w:pPr>
          </w:p>
        </w:tc>
        <w:tc>
          <w:tcPr>
            <w:tcW w:w="1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方正黑体_GBK" w:hAnsi="方正黑体_GBK" w:eastAsia="方正黑体_GBK" w:cs="方正黑体_GBK"/>
                <w:sz w:val="20"/>
                <w:szCs w:val="20"/>
              </w:rPr>
            </w:pPr>
          </w:p>
        </w:tc>
        <w:tc>
          <w:tcPr>
            <w:tcW w:w="6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方正黑体_GBK" w:hAnsi="方正黑体_GBK" w:eastAsia="方正黑体_GBK" w:cs="方正黑体_GBK"/>
                <w:sz w:val="20"/>
                <w:szCs w:val="20"/>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方正黑体_GBK" w:hAnsi="方正黑体_GBK" w:eastAsia="方正黑体_GBK" w:cs="方正黑体_GBK"/>
                <w:sz w:val="20"/>
                <w:szCs w:val="20"/>
              </w:rPr>
            </w:pPr>
          </w:p>
        </w:tc>
        <w:tc>
          <w:tcPr>
            <w:tcW w:w="4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方正黑体_GBK" w:hAnsi="方正黑体_GBK" w:eastAsia="方正黑体_GBK" w:cs="方正黑体_GBK"/>
                <w:sz w:val="20"/>
                <w:szCs w:val="20"/>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思想素质</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毕业学历</w:t>
            </w:r>
          </w:p>
        </w:tc>
        <w:tc>
          <w:tcPr>
            <w:tcW w:w="352" w:type="pct"/>
            <w:tcBorders>
              <w:top w:val="single" w:color="000000" w:sz="4" w:space="0"/>
              <w:left w:val="single" w:color="000000" w:sz="4" w:space="0"/>
              <w:bottom w:val="nil"/>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专业要求</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教师资格</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工作年限</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年度考核</w:t>
            </w:r>
          </w:p>
        </w:tc>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方正黑体_GBK" w:hAnsi="方正黑体_GBK" w:eastAsia="方正黑体_GBK" w:cs="方正黑体_GBK"/>
                <w:sz w:val="20"/>
                <w:szCs w:val="20"/>
              </w:rPr>
            </w:pPr>
          </w:p>
        </w:tc>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方正黑体_GBK" w:hAnsi="方正黑体_GBK" w:eastAsia="方正黑体_GBK" w:cs="方正黑体_GBK"/>
                <w:sz w:val="20"/>
                <w:szCs w:val="20"/>
              </w:rPr>
            </w:pPr>
          </w:p>
        </w:tc>
      </w:tr>
      <w:tr>
        <w:tblPrEx>
          <w:tblCellMar>
            <w:top w:w="0" w:type="dxa"/>
            <w:left w:w="108" w:type="dxa"/>
            <w:bottom w:w="0" w:type="dxa"/>
            <w:right w:w="108" w:type="dxa"/>
          </w:tblCellMar>
        </w:tblPrEx>
        <w:trPr>
          <w:trHeight w:val="5500" w:hRule="atLeast"/>
        </w:trPr>
        <w:tc>
          <w:tcPr>
            <w:tcW w:w="16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sz w:val="20"/>
                <w:szCs w:val="20"/>
              </w:rPr>
            </w:pPr>
            <w:r>
              <w:rPr>
                <w:kern w:val="0"/>
                <w:sz w:val="20"/>
                <w:szCs w:val="20"/>
                <w:lang w:bidi="ar"/>
              </w:rPr>
              <w:t>1</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幼儿教师</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仿宋_GBK" w:hAnsi="方正仿宋_GBK" w:cs="方正仿宋_GBK"/>
                <w:sz w:val="20"/>
                <w:szCs w:val="20"/>
              </w:rPr>
            </w:pPr>
            <w:r>
              <w:rPr>
                <w:kern w:val="0"/>
                <w:sz w:val="20"/>
                <w:szCs w:val="20"/>
                <w:lang w:bidi="ar"/>
              </w:rPr>
              <w:t>40</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汉丰幼儿园</w:t>
            </w:r>
            <w:r>
              <w:rPr>
                <w:kern w:val="0"/>
                <w:sz w:val="20"/>
                <w:szCs w:val="20"/>
                <w:lang w:bidi="ar"/>
              </w:rPr>
              <w:t>3</w:t>
            </w:r>
            <w:r>
              <w:rPr>
                <w:rFonts w:hint="eastAsia" w:ascii="方正仿宋_GBK" w:hAnsi="方正仿宋_GBK" w:cs="方正仿宋_GBK"/>
                <w:kern w:val="0"/>
                <w:sz w:val="20"/>
                <w:szCs w:val="20"/>
                <w:lang w:bidi="ar"/>
              </w:rPr>
              <w:t>人；</w:t>
            </w:r>
          </w:p>
          <w:p>
            <w:pPr>
              <w:widowControl/>
              <w:spacing w:line="28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文峰幼儿园</w:t>
            </w:r>
            <w:r>
              <w:rPr>
                <w:kern w:val="0"/>
                <w:sz w:val="20"/>
                <w:szCs w:val="20"/>
                <w:lang w:bidi="ar"/>
              </w:rPr>
              <w:t>2</w:t>
            </w:r>
            <w:r>
              <w:rPr>
                <w:rFonts w:hint="eastAsia" w:ascii="方正仿宋_GBK" w:hAnsi="方正仿宋_GBK" w:cs="方正仿宋_GBK"/>
                <w:kern w:val="0"/>
                <w:sz w:val="20"/>
                <w:szCs w:val="20"/>
                <w:lang w:bidi="ar"/>
              </w:rPr>
              <w:t>人；</w:t>
            </w:r>
          </w:p>
          <w:p>
            <w:pPr>
              <w:widowControl/>
              <w:spacing w:line="28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云枫幼儿园</w:t>
            </w:r>
            <w:r>
              <w:rPr>
                <w:kern w:val="0"/>
                <w:sz w:val="20"/>
                <w:szCs w:val="20"/>
                <w:lang w:bidi="ar"/>
              </w:rPr>
              <w:t>3</w:t>
            </w:r>
            <w:r>
              <w:rPr>
                <w:rFonts w:hint="eastAsia" w:ascii="方正仿宋_GBK" w:hAnsi="方正仿宋_GBK" w:cs="方正仿宋_GBK"/>
                <w:kern w:val="0"/>
                <w:sz w:val="20"/>
                <w:szCs w:val="20"/>
                <w:lang w:bidi="ar"/>
              </w:rPr>
              <w:t>人；</w:t>
            </w:r>
          </w:p>
          <w:p>
            <w:pPr>
              <w:widowControl/>
              <w:spacing w:line="28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云枫二园</w:t>
            </w:r>
            <w:r>
              <w:rPr>
                <w:kern w:val="0"/>
                <w:sz w:val="20"/>
                <w:szCs w:val="20"/>
                <w:lang w:bidi="ar"/>
              </w:rPr>
              <w:t>3</w:t>
            </w:r>
            <w:r>
              <w:rPr>
                <w:rFonts w:hint="eastAsia" w:ascii="方正仿宋_GBK" w:hAnsi="方正仿宋_GBK" w:cs="方正仿宋_GBK"/>
                <w:kern w:val="0"/>
                <w:sz w:val="20"/>
                <w:szCs w:val="20"/>
                <w:lang w:bidi="ar"/>
              </w:rPr>
              <w:t>人；</w:t>
            </w:r>
          </w:p>
          <w:p>
            <w:pPr>
              <w:widowControl/>
              <w:spacing w:line="28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歇马幼儿园</w:t>
            </w:r>
            <w:r>
              <w:rPr>
                <w:kern w:val="0"/>
                <w:sz w:val="20"/>
                <w:szCs w:val="20"/>
                <w:lang w:bidi="ar"/>
              </w:rPr>
              <w:t>3</w:t>
            </w:r>
            <w:r>
              <w:rPr>
                <w:rFonts w:hint="eastAsia" w:ascii="方正仿宋_GBK" w:hAnsi="方正仿宋_GBK" w:cs="方正仿宋_GBK"/>
                <w:kern w:val="0"/>
                <w:sz w:val="20"/>
                <w:szCs w:val="20"/>
                <w:lang w:bidi="ar"/>
              </w:rPr>
              <w:t>人；</w:t>
            </w:r>
          </w:p>
          <w:p>
            <w:pPr>
              <w:widowControl/>
              <w:spacing w:line="28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盛景幼儿园</w:t>
            </w:r>
            <w:r>
              <w:rPr>
                <w:kern w:val="0"/>
                <w:sz w:val="20"/>
                <w:szCs w:val="20"/>
                <w:lang w:bidi="ar"/>
              </w:rPr>
              <w:t>3</w:t>
            </w:r>
            <w:r>
              <w:rPr>
                <w:rFonts w:hint="eastAsia" w:ascii="方正仿宋_GBK" w:hAnsi="方正仿宋_GBK" w:cs="方正仿宋_GBK"/>
                <w:kern w:val="0"/>
                <w:sz w:val="20"/>
                <w:szCs w:val="20"/>
                <w:lang w:bidi="ar"/>
              </w:rPr>
              <w:t>人；</w:t>
            </w:r>
          </w:p>
          <w:p>
            <w:pPr>
              <w:widowControl/>
              <w:spacing w:line="28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丰乐幼儿园</w:t>
            </w:r>
            <w:r>
              <w:rPr>
                <w:kern w:val="0"/>
                <w:sz w:val="20"/>
                <w:szCs w:val="20"/>
                <w:lang w:bidi="ar"/>
              </w:rPr>
              <w:t>2</w:t>
            </w:r>
            <w:r>
              <w:rPr>
                <w:rFonts w:hint="eastAsia" w:ascii="方正仿宋_GBK" w:hAnsi="方正仿宋_GBK" w:cs="方正仿宋_GBK"/>
                <w:kern w:val="0"/>
                <w:sz w:val="20"/>
                <w:szCs w:val="20"/>
                <w:lang w:bidi="ar"/>
              </w:rPr>
              <w:t>人；</w:t>
            </w:r>
          </w:p>
          <w:p>
            <w:pPr>
              <w:widowControl/>
              <w:spacing w:line="28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赵家幼儿园</w:t>
            </w:r>
            <w:r>
              <w:rPr>
                <w:kern w:val="0"/>
                <w:sz w:val="20"/>
                <w:szCs w:val="20"/>
                <w:lang w:bidi="ar"/>
              </w:rPr>
              <w:t>9</w:t>
            </w:r>
            <w:r>
              <w:rPr>
                <w:rFonts w:hint="eastAsia" w:ascii="方正仿宋_GBK" w:hAnsi="方正仿宋_GBK" w:cs="方正仿宋_GBK"/>
                <w:kern w:val="0"/>
                <w:sz w:val="20"/>
                <w:szCs w:val="20"/>
                <w:lang w:bidi="ar"/>
              </w:rPr>
              <w:t>人；</w:t>
            </w:r>
          </w:p>
          <w:p>
            <w:pPr>
              <w:widowControl/>
              <w:spacing w:line="28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丰盛幼儿园</w:t>
            </w:r>
            <w:r>
              <w:rPr>
                <w:kern w:val="0"/>
                <w:sz w:val="20"/>
                <w:szCs w:val="20"/>
                <w:lang w:bidi="ar"/>
              </w:rPr>
              <w:t>6</w:t>
            </w:r>
            <w:r>
              <w:rPr>
                <w:rFonts w:hint="eastAsia" w:ascii="方正仿宋_GBK" w:hAnsi="方正仿宋_GBK" w:cs="方正仿宋_GBK"/>
                <w:kern w:val="0"/>
                <w:sz w:val="20"/>
                <w:szCs w:val="20"/>
                <w:lang w:bidi="ar"/>
              </w:rPr>
              <w:t>人；</w:t>
            </w:r>
          </w:p>
          <w:p>
            <w:pPr>
              <w:widowControl/>
              <w:spacing w:line="280" w:lineRule="exact"/>
              <w:ind w:firstLine="0" w:firstLineChars="0"/>
              <w:jc w:val="left"/>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云麓幼儿园</w:t>
            </w:r>
            <w:r>
              <w:rPr>
                <w:kern w:val="0"/>
                <w:sz w:val="20"/>
                <w:szCs w:val="20"/>
                <w:lang w:bidi="ar"/>
              </w:rPr>
              <w:t>6</w:t>
            </w:r>
            <w:r>
              <w:rPr>
                <w:rFonts w:hint="eastAsia" w:ascii="方正仿宋_GBK" w:hAnsi="方正仿宋_GBK" w:cs="方正仿宋_GBK"/>
                <w:kern w:val="0"/>
                <w:sz w:val="20"/>
                <w:szCs w:val="20"/>
                <w:lang w:bidi="ar"/>
              </w:rPr>
              <w:t>人。</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eastAsia="宋体"/>
                <w:sz w:val="20"/>
                <w:szCs w:val="20"/>
              </w:rPr>
            </w:pPr>
            <w:r>
              <w:rPr>
                <w:rStyle w:val="6"/>
                <w:color w:val="auto"/>
                <w:sz w:val="20"/>
                <w:szCs w:val="20"/>
                <w:lang w:bidi="ar"/>
              </w:rPr>
              <w:t>专业技术</w:t>
            </w:r>
            <w:r>
              <w:rPr>
                <w:rStyle w:val="6"/>
                <w:rFonts w:hint="default" w:ascii="Times New Roman" w:hAnsi="Times New Roman" w:cs="Times New Roman"/>
                <w:color w:val="auto"/>
                <w:sz w:val="20"/>
                <w:szCs w:val="20"/>
                <w:lang w:bidi="ar"/>
              </w:rPr>
              <w:t>12</w:t>
            </w:r>
            <w:r>
              <w:rPr>
                <w:rStyle w:val="6"/>
                <w:rFonts w:hint="default"/>
                <w:color w:val="auto"/>
                <w:sz w:val="20"/>
                <w:szCs w:val="20"/>
                <w:lang w:bidi="ar"/>
              </w:rPr>
              <w:t>级或以下</w:t>
            </w:r>
          </w:p>
        </w:tc>
        <w:tc>
          <w:tcPr>
            <w:tcW w:w="45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独立建制幼儿园的教师、小学附设幼儿园的教师、小学教师中毕业学历所学专业为学前教育（幼儿教育）的教师，若符合幼儿教师岗位基本条件，且没有不得报考情形的，可报考幼儿教师岗位。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爱岗敬业，遵纪守法，品行端正，作风正派。</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大学专科及以上学历</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学前或幼儿教育专业；或近</w:t>
            </w:r>
            <w:r>
              <w:rPr>
                <w:kern w:val="0"/>
                <w:sz w:val="20"/>
                <w:szCs w:val="20"/>
                <w:lang w:bidi="ar"/>
              </w:rPr>
              <w:t>3</w:t>
            </w:r>
            <w:r>
              <w:rPr>
                <w:rFonts w:hint="eastAsia" w:ascii="方正仿宋_GBK" w:hAnsi="方正仿宋_GBK" w:cs="方正仿宋_GBK"/>
                <w:kern w:val="0"/>
                <w:sz w:val="20"/>
                <w:szCs w:val="20"/>
                <w:lang w:bidi="ar"/>
              </w:rPr>
              <w:t>年连续任教学前教育课程</w:t>
            </w:r>
          </w:p>
        </w:tc>
        <w:tc>
          <w:tcPr>
            <w:tcW w:w="27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学前或幼儿教育及以上层次教师资格</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从事教育教学工作年限不得少于</w:t>
            </w:r>
            <w:r>
              <w:rPr>
                <w:kern w:val="0"/>
                <w:sz w:val="20"/>
                <w:szCs w:val="20"/>
                <w:lang w:bidi="ar"/>
              </w:rPr>
              <w:t>5</w:t>
            </w:r>
            <w:r>
              <w:rPr>
                <w:rFonts w:hint="eastAsia" w:ascii="方正仿宋_GBK" w:hAnsi="方正仿宋_GBK" w:cs="方正仿宋_GBK"/>
                <w:kern w:val="0"/>
                <w:sz w:val="20"/>
                <w:szCs w:val="20"/>
                <w:lang w:bidi="ar"/>
              </w:rPr>
              <w:t>年，已调动过的须在现单位工作满</w:t>
            </w:r>
            <w:r>
              <w:rPr>
                <w:kern w:val="0"/>
                <w:sz w:val="20"/>
                <w:szCs w:val="20"/>
                <w:lang w:bidi="ar"/>
              </w:rPr>
              <w:t>2</w:t>
            </w:r>
            <w:r>
              <w:rPr>
                <w:rFonts w:hint="eastAsia" w:ascii="方正仿宋_GBK" w:hAnsi="方正仿宋_GBK" w:cs="方正仿宋_GBK"/>
                <w:kern w:val="0"/>
                <w:sz w:val="20"/>
                <w:szCs w:val="20"/>
                <w:lang w:bidi="ar"/>
              </w:rPr>
              <w:t>年。</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近</w:t>
            </w:r>
            <w:r>
              <w:rPr>
                <w:kern w:val="0"/>
                <w:sz w:val="20"/>
                <w:szCs w:val="20"/>
                <w:lang w:bidi="ar"/>
              </w:rPr>
              <w:t>3</w:t>
            </w:r>
            <w:r>
              <w:rPr>
                <w:rFonts w:hint="eastAsia" w:ascii="方正仿宋_GBK" w:hAnsi="方正仿宋_GBK" w:cs="方正仿宋_GBK"/>
                <w:kern w:val="0"/>
                <w:sz w:val="20"/>
                <w:szCs w:val="20"/>
                <w:lang w:bidi="ar"/>
              </w:rPr>
              <w:t>个学年度年度考核均为合格及以上</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同类遴选区域之间的教师；不属于报考范围的教师；在党纪、政纪处分期内或正在接受立案审查或停职审查或涉嫌违法犯罪正在接受司法调查尚未做出结论的；按照其它有关规定不得进行工作人员调动的。</w:t>
            </w: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ind w:firstLine="0" w:firstLineChars="0"/>
              <w:jc w:val="center"/>
              <w:rPr>
                <w:rFonts w:hint="eastAsia" w:ascii="宋体" w:hAnsi="宋体" w:eastAsia="宋体" w:cs="宋体"/>
                <w:sz w:val="20"/>
                <w:szCs w:val="20"/>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jQxMGNmMDBiMWExYWRkZDZlYTBhZWU5MjEyNjAifQ=="/>
  </w:docVars>
  <w:rsids>
    <w:rsidRoot w:val="00000000"/>
    <w:rsid w:val="56650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tLeast"/>
      <w:jc w:val="left"/>
    </w:pPr>
    <w:rPr>
      <w:sz w:val="18"/>
      <w:szCs w:val="18"/>
    </w:rPr>
  </w:style>
  <w:style w:type="character" w:styleId="5">
    <w:name w:val="page number"/>
    <w:uiPriority w:val="0"/>
  </w:style>
  <w:style w:type="character" w:customStyle="1" w:styleId="6">
    <w:name w:val="font31"/>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2024-06-14T02:17:54Z</dcterms:created>
  <dc:creator>yizhen</dc:creator>
  <cp:lastModifiedBy>yizhen</cp:lastModifiedBy>
  <dcterms:modified xsi:type="dcterms:W3CDTF">2024-06-14T02:18:41Z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68DB046BC345496FBB27EFA36DDDBCDB_12</vt:lpwstr>
  </property>
</Properties>
</file>